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rFonts w:ascii="Garamond" w:cs="Times New Roman" w:eastAsia="Times New Roman" w:hAnsi="Garamond"/>
          <w:b/>
          <w:sz w:val="48"/>
          <w:szCs w:val="48"/>
        </w:rPr>
        <w:t>Pressemitteilung 10.4. 2014</w:t>
      </w:r>
    </w:p>
    <w:p>
      <w:pPr>
        <w:pStyle w:val="style0"/>
        <w:spacing w:after="0" w:before="0" w:line="100" w:lineRule="atLeast"/>
        <w:contextualSpacing w:val="false"/>
      </w:pPr>
      <w:r>
        <w:rPr>
          <w:rFonts w:ascii="Garamond" w:cs="Times New Roman" w:eastAsia="Times New Roman" w:hAnsi="Garamond"/>
          <w:sz w:val="28"/>
          <w:szCs w:val="28"/>
        </w:rPr>
      </w:r>
    </w:p>
    <w:p>
      <w:pPr>
        <w:pStyle w:val="style0"/>
        <w:spacing w:after="0" w:before="0" w:line="100" w:lineRule="atLeast"/>
        <w:contextualSpacing w:val="false"/>
      </w:pPr>
      <w:r>
        <w:rPr>
          <w:rFonts w:ascii="Garamond" w:cs="Times New Roman" w:eastAsia="Times New Roman" w:hAnsi="Garamond"/>
          <w:sz w:val="28"/>
          <w:szCs w:val="28"/>
        </w:rPr>
        <w:t> </w:t>
      </w:r>
    </w:p>
    <w:p>
      <w:pPr>
        <w:pStyle w:val="style0"/>
        <w:spacing w:after="0" w:before="0" w:line="100" w:lineRule="atLeast"/>
        <w:contextualSpacing w:val="false"/>
      </w:pPr>
      <w:r>
        <w:rPr>
          <w:rFonts w:ascii="Garamond" w:cs="Times New Roman" w:eastAsia="Times New Roman" w:hAnsi="Garamond"/>
          <w:sz w:val="28"/>
          <w:szCs w:val="28"/>
        </w:rPr>
        <w:t>Am heutigen Donnerstag, den 10.April 2014, gründete sich in Schwäbisch Hall das</w:t>
        <w:br/>
        <w:t xml:space="preserve">Bündnis „Stopp TTIP  - Bündnis gegen das Freihandelsabkommen EU – USA </w:t>
      </w:r>
      <w:r>
        <w:rPr>
          <w:rFonts w:ascii="Garamond" w:cs="Times New Roman" w:eastAsia="Times New Roman" w:hAnsi="Garamond"/>
          <w:color w:val="FF0000"/>
          <w:sz w:val="28"/>
          <w:szCs w:val="28"/>
        </w:rPr>
        <w:t>im Landkreis Schwäbisch Hall</w:t>
      </w:r>
      <w:r>
        <w:rPr>
          <w:rFonts w:ascii="Garamond" w:cs="Times New Roman" w:eastAsia="Times New Roman" w:hAnsi="Garamond"/>
          <w:sz w:val="28"/>
          <w:szCs w:val="28"/>
        </w:rPr>
        <w:t>“. Als Mitgliedsorganisationen des Gründungstreffens kamen zusammen:</w:t>
        <w:br/>
        <w:t xml:space="preserve">attac SHA, Bioland (?), Bündnis Gentechnikfreies Hohenlohe, Bürgerforum SHA, Bund für Umwelt- und Naturschutz Deutschland (BUND)OV SHA, </w:t>
      </w:r>
      <w:r>
        <w:rPr>
          <w:rFonts w:ascii="Garamond" w:cs="Times New Roman" w:eastAsia="Times New Roman" w:hAnsi="Garamond"/>
          <w:color w:val="FF0000"/>
          <w:sz w:val="28"/>
          <w:szCs w:val="28"/>
        </w:rPr>
        <w:t>Energie-Initiative</w:t>
      </w:r>
      <w:r>
        <w:rPr>
          <w:rFonts w:ascii="Garamond" w:cs="Times New Roman" w:eastAsia="Times New Roman" w:hAnsi="Garamond"/>
          <w:sz w:val="28"/>
          <w:szCs w:val="28"/>
        </w:rPr>
        <w:t xml:space="preserve"> Kirchberg, Hohenloher Franken,  isl, Mehr Demokratie wagen, Radio Sthoerfunk, Umfairteilen SHA, Umweltzentrum, Zeitgenossenschaft. </w:t>
      </w:r>
    </w:p>
    <w:p>
      <w:pPr>
        <w:pStyle w:val="style0"/>
        <w:spacing w:after="0" w:before="0" w:line="100" w:lineRule="atLeast"/>
        <w:contextualSpacing w:val="false"/>
      </w:pPr>
      <w:r>
        <w:rPr>
          <w:rFonts w:ascii="Garamond" w:cs="Times New Roman" w:eastAsia="Times New Roman" w:hAnsi="Garamond"/>
          <w:sz w:val="28"/>
          <w:szCs w:val="28"/>
        </w:rPr>
      </w:r>
    </w:p>
    <w:p>
      <w:pPr>
        <w:pStyle w:val="style0"/>
        <w:spacing w:after="0" w:before="0" w:line="100" w:lineRule="atLeast"/>
        <w:contextualSpacing w:val="false"/>
      </w:pPr>
      <w:r>
        <w:rPr>
          <w:rFonts w:ascii="Garamond" w:cs="Times New Roman" w:eastAsia="Times New Roman" w:hAnsi="Garamond"/>
          <w:sz w:val="28"/>
          <w:szCs w:val="28"/>
        </w:rPr>
        <w:t>Im Rahmen dieses Gründungstreffens beschloss das Bündnis folgendes</w:t>
        <w:br/>
        <w:t>Selbstverständnis:</w:t>
      </w:r>
    </w:p>
    <w:p>
      <w:pPr>
        <w:pStyle w:val="style0"/>
        <w:spacing w:after="0" w:before="0" w:line="100" w:lineRule="atLeast"/>
        <w:contextualSpacing w:val="false"/>
      </w:pPr>
      <w:r>
        <w:rPr>
          <w:rFonts w:ascii="Garamond" w:cs="Times New Roman" w:eastAsia="Times New Roman" w:hAnsi="Garamond"/>
          <w:sz w:val="28"/>
          <w:szCs w:val="28"/>
        </w:rPr>
        <w:t> </w:t>
      </w:r>
    </w:p>
    <w:p>
      <w:pPr>
        <w:pStyle w:val="style0"/>
        <w:spacing w:after="0" w:before="0" w:line="100" w:lineRule="atLeast"/>
        <w:contextualSpacing w:val="false"/>
      </w:pPr>
      <w:r>
        <w:rPr>
          <w:rFonts w:ascii="Garamond" w:cs="Times New Roman" w:eastAsia="Times New Roman" w:hAnsi="Garamond"/>
          <w:sz w:val="28"/>
          <w:szCs w:val="28"/>
        </w:rPr>
        <w:t>Derzeit verhandelt die Europäische Kommission mit den USA und Kanada über</w:t>
        <w:br/>
        <w:t>zwei sogenannte Freihandelsabkommen: TTIP (Transatlantic Trade and</w:t>
        <w:br/>
        <w:t>Investment Partnership) und CETA (Comprehensive Economic and Trade</w:t>
        <w:br/>
        <w:t>Agreement ). Diese Verhandlungen werden unter Ausschluss der</w:t>
        <w:br/>
        <w:t xml:space="preserve">Öffentlichkeit geführt, gleichzeitig fungieren allerdings Wirtschaftslobbyisten als </w:t>
      </w:r>
      <w:bookmarkStart w:id="0" w:name="_GoBack"/>
      <w:bookmarkEnd w:id="0"/>
      <w:r>
        <w:rPr>
          <w:rFonts w:ascii="Garamond" w:cs="Times New Roman" w:eastAsia="Times New Roman" w:hAnsi="Garamond"/>
          <w:sz w:val="28"/>
          <w:szCs w:val="28"/>
        </w:rPr>
        <w:t>Berater und nehmen ohne demokratisches Mandat erheblichen Einfluss auf die</w:t>
        <w:br/>
        <w:t xml:space="preserve">Verhandlungen. </w:t>
      </w:r>
    </w:p>
    <w:p>
      <w:pPr>
        <w:pStyle w:val="style0"/>
        <w:spacing w:after="0" w:before="0" w:line="100" w:lineRule="atLeast"/>
        <w:contextualSpacing w:val="false"/>
      </w:pPr>
      <w:r>
        <w:rPr>
          <w:rFonts w:ascii="Garamond" w:cs="Times New Roman" w:eastAsia="Times New Roman" w:hAnsi="Garamond"/>
          <w:sz w:val="28"/>
          <w:szCs w:val="28"/>
        </w:rPr>
      </w:r>
    </w:p>
    <w:p>
      <w:pPr>
        <w:pStyle w:val="style0"/>
        <w:spacing w:after="0" w:before="0" w:line="100" w:lineRule="atLeast"/>
        <w:contextualSpacing w:val="false"/>
      </w:pPr>
      <w:r>
        <w:rPr>
          <w:rFonts w:ascii="Garamond" w:cs="Times New Roman" w:eastAsia="Times New Roman" w:hAnsi="Garamond"/>
          <w:sz w:val="28"/>
          <w:szCs w:val="28"/>
        </w:rPr>
        <w:t xml:space="preserve">Unser lokales Bündnis hat das Ziel, gemeinsam mit den Hohenloherinnen und Hohenlohern und gemeinsam mit vielen verschiedenen Gruppen in Europa und Nordamerika  TTIP und CETA zu verhindern. Wir fordern den sofortigen und endgültigen Stopp der intransparenten und undemokratischen Verhandlungen. </w:t>
      </w:r>
    </w:p>
    <w:p>
      <w:pPr>
        <w:pStyle w:val="style0"/>
        <w:spacing w:after="0" w:before="0" w:line="100" w:lineRule="atLeast"/>
        <w:contextualSpacing w:val="false"/>
      </w:pPr>
      <w:r>
        <w:rPr>
          <w:rFonts w:ascii="Garamond" w:cs="Times New Roman" w:eastAsia="Times New Roman" w:hAnsi="Garamond"/>
          <w:sz w:val="28"/>
          <w:szCs w:val="28"/>
        </w:rPr>
      </w:r>
    </w:p>
    <w:p>
      <w:pPr>
        <w:pStyle w:val="style0"/>
        <w:spacing w:after="0" w:before="0" w:line="100" w:lineRule="atLeast"/>
        <w:contextualSpacing w:val="false"/>
      </w:pPr>
      <w:r>
        <w:rPr>
          <w:rFonts w:ascii="Garamond" w:cs="Times New Roman" w:eastAsia="Times New Roman" w:hAnsi="Garamond"/>
          <w:sz w:val="28"/>
          <w:szCs w:val="28"/>
        </w:rPr>
        <w:t xml:space="preserve">Es besteht nicht nur die Gefahr, dass durch die Abkommen Verbraucherschutz- und Umweltstandards sowie Arbeitnehmerrechte deutlich geschwächt werden. Es geht nicht nur um die drohende Einfuhr von amerikanischen Chlorhähnchen </w:t>
      </w:r>
      <w:r>
        <w:rPr>
          <w:rFonts w:ascii="Garamond" w:cs="Times New Roman" w:eastAsia="Times New Roman" w:hAnsi="Garamond"/>
          <w:color w:val="FF0000"/>
          <w:sz w:val="28"/>
          <w:szCs w:val="28"/>
        </w:rPr>
        <w:t>und Hormonfleisch</w:t>
      </w:r>
      <w:r>
        <w:rPr>
          <w:rFonts w:ascii="Garamond" w:cs="Times New Roman" w:eastAsia="Times New Roman" w:hAnsi="Garamond"/>
          <w:sz w:val="28"/>
          <w:szCs w:val="28"/>
        </w:rPr>
        <w:t xml:space="preserve">, den ungehinderten Anbau von gentechnisch veränderten Nutz-Pflanzen, den Wegfall von Kennzeichnungsregeln für Lebensmittel oder Fracking-Gas. </w:t>
      </w:r>
      <w:r>
        <w:rPr>
          <w:rFonts w:ascii="Garamond" w:cs="Times New Roman" w:eastAsia="Times New Roman" w:hAnsi="Garamond"/>
          <w:color w:val="FF0000"/>
          <w:sz w:val="28"/>
          <w:szCs w:val="28"/>
        </w:rPr>
        <w:t>Es geht nicht nur darum, dass Arbeitnehmerrechte auf das Niveau amerikanischer Südstaaten verschlechtert werden könnten.</w:t>
      </w:r>
    </w:p>
    <w:p>
      <w:pPr>
        <w:pStyle w:val="style0"/>
        <w:spacing w:after="0" w:before="0" w:line="100" w:lineRule="atLeast"/>
        <w:contextualSpacing w:val="false"/>
      </w:pPr>
      <w:r>
        <w:rPr>
          <w:rFonts w:ascii="Garamond" w:cs="Times New Roman" w:eastAsia="Times New Roman" w:hAnsi="Garamond"/>
          <w:sz w:val="28"/>
          <w:szCs w:val="28"/>
        </w:rPr>
        <w:t xml:space="preserve">Insbesondere besteht die Gefahr, dass die Demokratie in unserem Land schwer beschädigt wird, weil Banken und Konzerne ein Klagerecht gegen Staaten vor privaten Schiedsgerichten erhalten </w:t>
      </w:r>
      <w:r>
        <w:rPr>
          <w:rFonts w:ascii="Garamond" w:cs="Times New Roman" w:eastAsia="Times New Roman" w:hAnsi="Garamond"/>
          <w:color w:val="FF0000"/>
          <w:sz w:val="28"/>
          <w:szCs w:val="28"/>
        </w:rPr>
        <w:t>sollen</w:t>
      </w:r>
      <w:r>
        <w:rPr>
          <w:rFonts w:ascii="Garamond" w:cs="Times New Roman" w:eastAsia="Times New Roman" w:hAnsi="Garamond"/>
          <w:sz w:val="28"/>
          <w:szCs w:val="28"/>
        </w:rPr>
        <w:t xml:space="preserve">. Private Sondergerichte sollen entscheiden dürfen, ob ein Konzern oder eine Bank durch Gesetze vom Volk gewählter Parlamente negativ betroffen </w:t>
      </w:r>
      <w:r>
        <w:rPr>
          <w:rFonts w:ascii="Garamond" w:cs="Times New Roman" w:eastAsia="Times New Roman" w:hAnsi="Garamond"/>
          <w:color w:val="FF0000"/>
          <w:sz w:val="28"/>
          <w:szCs w:val="28"/>
        </w:rPr>
        <w:t xml:space="preserve">sind </w:t>
      </w:r>
      <w:r>
        <w:rPr>
          <w:rFonts w:ascii="Garamond" w:cs="Times New Roman" w:eastAsia="Times New Roman" w:hAnsi="Garamond"/>
          <w:sz w:val="28"/>
          <w:szCs w:val="28"/>
        </w:rPr>
        <w:t xml:space="preserve">und </w:t>
      </w:r>
      <w:r>
        <w:rPr>
          <w:rFonts w:ascii="Garamond" w:cs="Times New Roman" w:eastAsia="Times New Roman" w:hAnsi="Garamond"/>
          <w:color w:val="FF0000"/>
          <w:sz w:val="28"/>
          <w:szCs w:val="28"/>
        </w:rPr>
        <w:t>dafür</w:t>
      </w:r>
      <w:r>
        <w:rPr>
          <w:rFonts w:ascii="Garamond" w:cs="Times New Roman" w:eastAsia="Times New Roman" w:hAnsi="Garamond"/>
          <w:sz w:val="28"/>
          <w:szCs w:val="28"/>
        </w:rPr>
        <w:t xml:space="preserve"> Schadensersatz in Milliarden</w:t>
      </w:r>
      <w:r>
        <w:rPr>
          <w:rFonts w:ascii="Garamond" w:cs="Times New Roman" w:eastAsia="Times New Roman" w:hAnsi="Garamond"/>
          <w:color w:val="FF0000"/>
          <w:sz w:val="28"/>
          <w:szCs w:val="28"/>
        </w:rPr>
        <w:t>höhe</w:t>
      </w:r>
      <w:r>
        <w:rPr>
          <w:rFonts w:ascii="Garamond" w:cs="Times New Roman" w:eastAsia="Times New Roman" w:hAnsi="Garamond"/>
          <w:sz w:val="28"/>
          <w:szCs w:val="28"/>
        </w:rPr>
        <w:t xml:space="preserve"> von diesem Staat bekommen </w:t>
      </w:r>
      <w:r>
        <w:rPr>
          <w:rFonts w:ascii="Garamond" w:cs="Times New Roman" w:eastAsia="Times New Roman" w:hAnsi="Garamond"/>
          <w:color w:val="FF0000"/>
          <w:sz w:val="28"/>
          <w:szCs w:val="28"/>
        </w:rPr>
        <w:t>sollen</w:t>
      </w:r>
      <w:r>
        <w:rPr>
          <w:rFonts w:ascii="Garamond" w:cs="Times New Roman" w:eastAsia="Times New Roman" w:hAnsi="Garamond"/>
          <w:sz w:val="28"/>
          <w:szCs w:val="28"/>
        </w:rPr>
        <w:t>.</w:t>
      </w:r>
    </w:p>
    <w:p>
      <w:pPr>
        <w:pStyle w:val="style0"/>
        <w:spacing w:after="0" w:before="0" w:line="100" w:lineRule="atLeast"/>
        <w:contextualSpacing w:val="false"/>
      </w:pPr>
      <w:r>
        <w:rPr>
          <w:rFonts w:ascii="Garamond" w:cs="Times New Roman" w:eastAsia="Times New Roman" w:hAnsi="Garamond"/>
          <w:sz w:val="28"/>
          <w:szCs w:val="28"/>
        </w:rPr>
        <w:t xml:space="preserve">Kandidatinnen und Kandidaten für das EU-Parlament, die TTIP oder CETA befürworten, sind für uns nicht wählbar. Demokratie und Rechtsstaat sind nicht verhandelbar. Einen kalten Verfassungsbruch werden wir nicht hinnehmen! </w:t>
      </w:r>
    </w:p>
    <w:sectPr>
      <w:type w:val="nextPage"/>
      <w:pgSz w:h="16838" w:w="11906"/>
      <w:pgMar w:bottom="1134" w:footer="0" w:gutter="0" w:header="0" w:left="1417" w:right="1417" w:top="1417"/>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Garamond">
    <w:charset w:val="00"/>
    <w:family w:val="roman"/>
    <w:pitch w:val="variable"/>
  </w:font>
</w:fonts>
</file>

<file path=word/settings.xml><?xml version="1.0" encoding="utf-8"?>
<w:settings xmlns:w="http://schemas.openxmlformats.org/wordprocessingml/2006/main">
  <w:zoom w:percent="75"/>
  <w:defaultTabStop w:val="708"/>
</w:settings>
</file>

<file path=word/styles.xml><?xml version="1.0" encoding="utf-8"?>
<w:styles xmlns:w="http://schemas.openxmlformats.org/wordprocessingml/2006/main">
  <w:style w:styleId="style0" w:type="paragraph">
    <w:name w:val="Standard"/>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de-DE" w:val="de-DE"/>
    </w:rPr>
  </w:style>
  <w:style w:styleId="style15" w:type="character">
    <w:name w:val="Default Paragraph Font"/>
    <w:next w:val="style15"/>
    <w:rPr/>
  </w:style>
  <w:style w:styleId="style16" w:type="character">
    <w:name w:val="Internetlink"/>
    <w:basedOn w:val="style15"/>
    <w:next w:val="style16"/>
    <w:rPr>
      <w:color w:val="0000FF"/>
      <w:u w:val="single"/>
      <w:lang w:bidi="zxx-" w:eastAsia="zxx-" w:val="zxx-"/>
    </w:rPr>
  </w:style>
  <w:style w:styleId="style17" w:type="paragraph">
    <w:name w:val="Überschrift"/>
    <w:basedOn w:val="style0"/>
    <w:next w:val="style18"/>
    <w:pPr>
      <w:keepNext/>
      <w:spacing w:after="120" w:before="240"/>
      <w:contextualSpacing w:val="false"/>
    </w:pPr>
    <w:rPr>
      <w:rFonts w:ascii="Arial" w:cs="Mangal" w:eastAsia="Microsoft YaHei" w:hAnsi="Arial"/>
      <w:sz w:val="28"/>
      <w:szCs w:val="28"/>
    </w:rPr>
  </w:style>
  <w:style w:styleId="style18" w:type="paragraph">
    <w:name w:val="Textkörper"/>
    <w:basedOn w:val="style0"/>
    <w:next w:val="style18"/>
    <w:pPr>
      <w:spacing w:after="120" w:before="0"/>
      <w:contextualSpacing w:val="false"/>
    </w:pPr>
    <w:rPr/>
  </w:style>
  <w:style w:styleId="style19" w:type="paragraph">
    <w:name w:val="Liste"/>
    <w:basedOn w:val="style18"/>
    <w:next w:val="style19"/>
    <w:pPr/>
    <w:rPr>
      <w:rFonts w:cs="Mangal"/>
    </w:rPr>
  </w:style>
  <w:style w:styleId="style20" w:type="paragraph">
    <w:name w:val="Beschriftung"/>
    <w:basedOn w:val="style0"/>
    <w:next w:val="style20"/>
    <w:pPr>
      <w:suppressLineNumbers/>
      <w:spacing w:after="120" w:before="120"/>
      <w:contextualSpacing w:val="false"/>
    </w:pPr>
    <w:rPr>
      <w:rFonts w:cs="Mangal"/>
      <w:i/>
      <w:iCs/>
      <w:sz w:val="24"/>
      <w:szCs w:val="24"/>
    </w:rPr>
  </w:style>
  <w:style w:styleId="style21" w:type="paragraph">
    <w:name w:val="Verzeichnis"/>
    <w:basedOn w:val="style0"/>
    <w:next w:val="style21"/>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2014-04-02T18:45:00.00Z</dcterms:created>
  <dc:creator>Uli Simon</dc:creator>
  <cp:lastModifiedBy>Uli Simon</cp:lastModifiedBy>
  <cp:lastPrinted>2014-04-12T10:54:00.00Z</cp:lastPrinted>
  <dcterms:modified xsi:type="dcterms:W3CDTF">2014-04-14T17:39:00.00Z</dcterms:modified>
  <cp:revision>18</cp:revision>
</cp:coreProperties>
</file>